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Ex1.xml" ContentType="application/vnd.ms-office.chartex+xml"/>
  <Override PartName="/word/charts/style1.xml" ContentType="application/vnd.ms-office.chartstyle+xml"/>
  <Override PartName="/word/charts/colors1.xml" ContentType="application/vnd.ms-office.chartcolorstyle+xml"/>
  <Override PartName="/word/charts/chart1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E5F9E" w14:textId="08F6237F" w:rsidR="0008477B" w:rsidRDefault="00803D49" w:rsidP="00721299">
      <w:pPr>
        <w:pStyle w:val="Title"/>
      </w:pPr>
      <w:r>
        <w:t>Market Definition</w:t>
      </w:r>
    </w:p>
    <w:p w14:paraId="65BC8006" w14:textId="2FF1DECD" w:rsidR="00803D49" w:rsidRDefault="00803D49"/>
    <w:p w14:paraId="6CFD2C3F" w14:textId="5EEF4A5C" w:rsidR="00721299" w:rsidRDefault="00721299" w:rsidP="00721299">
      <w:pPr>
        <w:pStyle w:val="Heading1"/>
      </w:pPr>
      <w:r>
        <w:t>Executive Summary</w:t>
      </w:r>
    </w:p>
    <w:p w14:paraId="1D049B71" w14:textId="54CC06BB" w:rsidR="00721299" w:rsidRDefault="00721299"/>
    <w:p w14:paraId="11AA83FA" w14:textId="61F25E52" w:rsidR="00B22C85" w:rsidRDefault="000C3B25" w:rsidP="00B22C85">
      <w:pPr>
        <w:pStyle w:val="ListParagraph"/>
        <w:numPr>
          <w:ilvl w:val="0"/>
          <w:numId w:val="2"/>
        </w:numPr>
      </w:pPr>
      <w:r>
        <w:t>REDACT</w:t>
      </w:r>
      <w:r w:rsidR="003F3116">
        <w:t>’s</w:t>
      </w:r>
      <w:r w:rsidR="00B22C85">
        <w:t xml:space="preserve"> Target Market is defined </w:t>
      </w:r>
      <w:r w:rsidR="00B22C85" w:rsidRPr="00391751">
        <w:rPr>
          <w:b/>
          <w:bCs/>
        </w:rPr>
        <w:t xml:space="preserve">as </w:t>
      </w:r>
      <w:r w:rsidR="003F3116">
        <w:rPr>
          <w:b/>
          <w:bCs/>
        </w:rPr>
        <w:t>small, medium, and large companies</w:t>
      </w:r>
      <w:r w:rsidR="00B22C85" w:rsidRPr="00391751">
        <w:rPr>
          <w:b/>
          <w:bCs/>
        </w:rPr>
        <w:t xml:space="preserve"> in North America that </w:t>
      </w:r>
      <w:r w:rsidR="00774842">
        <w:rPr>
          <w:b/>
          <w:bCs/>
        </w:rPr>
        <w:t>redact</w:t>
      </w:r>
      <w:r w:rsidR="003F3116">
        <w:rPr>
          <w:b/>
          <w:bCs/>
        </w:rPr>
        <w:t xml:space="preserve"> in specific </w:t>
      </w:r>
      <w:r w:rsidR="00317C15">
        <w:rPr>
          <w:b/>
          <w:bCs/>
        </w:rPr>
        <w:t>market segments that include</w:t>
      </w:r>
      <w:r w:rsidR="00B22C85">
        <w:t xml:space="preserve"> </w:t>
      </w:r>
      <w:r w:rsidR="00774842">
        <w:t>redact</w:t>
      </w:r>
    </w:p>
    <w:p w14:paraId="6F8996BB" w14:textId="239CF237" w:rsidR="00B22C85" w:rsidRDefault="009E30FF" w:rsidP="00E80E3D">
      <w:pPr>
        <w:pStyle w:val="ListParagraph"/>
        <w:numPr>
          <w:ilvl w:val="0"/>
          <w:numId w:val="2"/>
        </w:numPr>
      </w:pPr>
      <w:r>
        <w:t xml:space="preserve">This market segmentation is defined in terms of revenue </w:t>
      </w:r>
      <w:r w:rsidR="00901744">
        <w:t>of $5M to</w:t>
      </w:r>
      <w:r w:rsidR="00E80E3D">
        <w:t xml:space="preserve"> $200M.  </w:t>
      </w:r>
      <w:r w:rsidR="00901744">
        <w:t xml:space="preserve"> </w:t>
      </w:r>
      <w:r w:rsidR="00B22C85">
        <w:t xml:space="preserve"> </w:t>
      </w:r>
    </w:p>
    <w:p w14:paraId="0C688843" w14:textId="3A0C9495" w:rsidR="00B22C85" w:rsidRDefault="00B22C85" w:rsidP="00B22C85">
      <w:pPr>
        <w:pStyle w:val="ListParagraph"/>
        <w:numPr>
          <w:ilvl w:val="0"/>
          <w:numId w:val="2"/>
        </w:numPr>
      </w:pPr>
      <w:r>
        <w:t xml:space="preserve">The Total Addressable Market fitting this definition is </w:t>
      </w:r>
      <w:r w:rsidR="000F22D2">
        <w:t xml:space="preserve">almost 10,000 companies.  If we include companies of unknown revenues, we </w:t>
      </w:r>
      <w:r w:rsidR="000B4701">
        <w:t>will</w:t>
      </w:r>
      <w:r w:rsidR="000F22D2">
        <w:t xml:space="preserve"> estimate 15-25,000 companies</w:t>
      </w:r>
      <w:r>
        <w:t xml:space="preserve">.  </w:t>
      </w:r>
    </w:p>
    <w:p w14:paraId="21401D6D" w14:textId="0D61FEED" w:rsidR="00B22C85" w:rsidRDefault="00B22C85" w:rsidP="00B22C85">
      <w:pPr>
        <w:pStyle w:val="ListParagraph"/>
        <w:numPr>
          <w:ilvl w:val="0"/>
          <w:numId w:val="2"/>
        </w:numPr>
      </w:pPr>
      <w:r>
        <w:t xml:space="preserve">Based on typical engagement and funnel conversion metrics, this represents roughly </w:t>
      </w:r>
      <w:r w:rsidR="000F22D2">
        <w:t>20-30</w:t>
      </w:r>
      <w:r>
        <w:t xml:space="preserve"> new </w:t>
      </w:r>
      <w:r w:rsidR="000C3B25">
        <w:t>REDACT</w:t>
      </w:r>
      <w:r>
        <w:t xml:space="preserve"> customers per year.</w:t>
      </w:r>
      <w:r w:rsidR="0013733F">
        <w:t xml:space="preserve">  To achieve a level of 40 new customer adds per year, </w:t>
      </w:r>
      <w:r w:rsidR="000C3B25">
        <w:t>REDACT</w:t>
      </w:r>
      <w:r w:rsidR="0013733F">
        <w:t xml:space="preserve"> would need to engage with 111% of the total </w:t>
      </w:r>
      <w:r w:rsidR="000B4701">
        <w:t xml:space="preserve">addressable market.  </w:t>
      </w:r>
    </w:p>
    <w:p w14:paraId="322B151E" w14:textId="77777777" w:rsidR="00721299" w:rsidRDefault="00721299"/>
    <w:p w14:paraId="06C77D93" w14:textId="11B07166" w:rsidR="00803D49" w:rsidRDefault="00803D49"/>
    <w:p w14:paraId="38FB0137" w14:textId="42F682CB" w:rsidR="00721299" w:rsidRDefault="00721299" w:rsidP="0080367E">
      <w:pPr>
        <w:pStyle w:val="Heading1"/>
      </w:pPr>
      <w:r>
        <w:t>Market Definition</w:t>
      </w:r>
    </w:p>
    <w:p w14:paraId="06048C7A" w14:textId="77777777" w:rsidR="0080367E" w:rsidRPr="0080367E" w:rsidRDefault="0080367E" w:rsidP="0080367E"/>
    <w:p w14:paraId="095F270C" w14:textId="1C8C915F" w:rsidR="00721299" w:rsidRDefault="00721299">
      <w:r>
        <w:t xml:space="preserve">According to InsideView, there are </w:t>
      </w:r>
      <w:r w:rsidR="00AA3C0C">
        <w:t>83,723</w:t>
      </w:r>
      <w:r>
        <w:t xml:space="preserve"> North American companies that are in the </w:t>
      </w:r>
      <w:r w:rsidR="001F6D06">
        <w:t>redact</w:t>
      </w:r>
      <w:r>
        <w:t xml:space="preserve"> industry.  There are another 207,072 companies in Europe and the United Kingdom.  This </w:t>
      </w:r>
      <w:r w:rsidR="00C85BF7">
        <w:t xml:space="preserve">is validated by </w:t>
      </w:r>
      <w:r w:rsidR="00FC3C20">
        <w:t xml:space="preserve">other </w:t>
      </w:r>
      <w:r w:rsidR="00C85BF7">
        <w:t xml:space="preserve">industry statistics.  </w:t>
      </w:r>
      <w:r w:rsidR="00FC3C20">
        <w:t>As an example, according</w:t>
      </w:r>
      <w:r>
        <w:t xml:space="preserve"> to </w:t>
      </w:r>
      <w:hyperlink r:id="rId8" w:anchor=":~:text=How%20big%20is%20the%20U.S.,around%2038%2C000%20for%20several%20years." w:history="1">
        <w:r w:rsidRPr="00721299">
          <w:rPr>
            <w:rStyle w:val="Hyperlink"/>
          </w:rPr>
          <w:t>Statista</w:t>
        </w:r>
      </w:hyperlink>
      <w:r>
        <w:t xml:space="preserve">, the U.S. </w:t>
      </w:r>
      <w:r w:rsidR="001F6D06">
        <w:t>redact</w:t>
      </w:r>
      <w:r>
        <w:t xml:space="preserve"> industry sales </w:t>
      </w:r>
      <w:r w:rsidR="00C85BF7">
        <w:t>exceeded</w:t>
      </w:r>
      <w:r>
        <w:t xml:space="preserve"> </w:t>
      </w:r>
      <w:r w:rsidR="00C85BF7">
        <w:t xml:space="preserve">six </w:t>
      </w:r>
      <w:r>
        <w:t>trillion dollars alone</w:t>
      </w:r>
      <w:r w:rsidR="00C85BF7">
        <w:t xml:space="preserve"> in 2019.</w:t>
      </w:r>
    </w:p>
    <w:p w14:paraId="6985BF2D" w14:textId="37F9A9F9" w:rsidR="00721299" w:rsidRDefault="00C85BF7">
      <w:r>
        <w:t xml:space="preserve">But what defines the </w:t>
      </w:r>
      <w:r w:rsidR="001F6D06">
        <w:t xml:space="preserve">redact </w:t>
      </w:r>
      <w:r>
        <w:t xml:space="preserve">industry.  This is a highly verticalized industry that starts from </w:t>
      </w:r>
      <w:r w:rsidR="00360398">
        <w:t xml:space="preserve">redact </w:t>
      </w:r>
      <w:r>
        <w:t xml:space="preserve">and goes right into </w:t>
      </w:r>
      <w:r w:rsidR="00360398">
        <w:t xml:space="preserve">redact </w:t>
      </w:r>
      <w:r>
        <w:t xml:space="preserve">businesses.  It is important to define the market using segmentation.  </w:t>
      </w:r>
    </w:p>
    <w:p w14:paraId="6B368324" w14:textId="3DCE1D7C" w:rsidR="00C85BF7" w:rsidRDefault="00C85BF7">
      <w:r>
        <w:t xml:space="preserve">But first, we will state that our focus for this exercise is </w:t>
      </w:r>
      <w:r w:rsidR="00360398">
        <w:t>redact</w:t>
      </w:r>
      <w:r>
        <w:t xml:space="preserve">.  This is defined as companies that make or distribute </w:t>
      </w:r>
      <w:r w:rsidR="00360398">
        <w:t xml:space="preserve">redact </w:t>
      </w:r>
      <w:r>
        <w:t xml:space="preserve">product.  They add value to a raw material(s), formulate, produce, package, and then distribute that product for consumption.  Consumption could be by a human, or it could be an animal as is the example from feed or pet food manufacturers that have the same challenges as producers who make the </w:t>
      </w:r>
      <w:r w:rsidR="00360398">
        <w:t>redact</w:t>
      </w:r>
      <w:r>
        <w:t>.</w:t>
      </w:r>
    </w:p>
    <w:p w14:paraId="7B9B8644" w14:textId="77777777" w:rsidR="008E73C5" w:rsidRDefault="008E73C5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560E3002" w14:textId="11AB81B4" w:rsidR="00721299" w:rsidRDefault="00721299" w:rsidP="0080367E">
      <w:pPr>
        <w:pStyle w:val="Heading1"/>
      </w:pPr>
      <w:r>
        <w:lastRenderedPageBreak/>
        <w:t>Defining Industry Segmentation</w:t>
      </w:r>
    </w:p>
    <w:p w14:paraId="79CCDAE5" w14:textId="77777777" w:rsidR="0080367E" w:rsidRPr="0080367E" w:rsidRDefault="0080367E" w:rsidP="0080367E"/>
    <w:p w14:paraId="617E8972" w14:textId="731AA8EE" w:rsidR="00721299" w:rsidRDefault="00C85BF7">
      <w:r>
        <w:t xml:space="preserve">There are </w:t>
      </w:r>
      <w:proofErr w:type="gramStart"/>
      <w:r>
        <w:t>a number of</w:t>
      </w:r>
      <w:proofErr w:type="gramEnd"/>
      <w:r>
        <w:t xml:space="preserve"> ways to define this </w:t>
      </w:r>
      <w:r w:rsidR="00360398">
        <w:t xml:space="preserve">redact </w:t>
      </w:r>
      <w:r>
        <w:t>industry.  We are going to use two primary methods.</w:t>
      </w:r>
    </w:p>
    <w:p w14:paraId="17C79CD8" w14:textId="0354C7B3" w:rsidR="0080367E" w:rsidRDefault="00AA3C0C" w:rsidP="00AA3C0C">
      <w:pPr>
        <w:pStyle w:val="Heading2"/>
      </w:pPr>
      <w:r>
        <w:t>B</w:t>
      </w:r>
      <w:r w:rsidR="0080367E">
        <w:t xml:space="preserve">y </w:t>
      </w:r>
      <w:r>
        <w:t>Company Size</w:t>
      </w:r>
    </w:p>
    <w:p w14:paraId="60DF69C7" w14:textId="2792A54F" w:rsidR="00AA3C0C" w:rsidRDefault="00AA3C0C" w:rsidP="00AA3C0C"/>
    <w:p w14:paraId="3FDC85AA" w14:textId="71B46174" w:rsidR="00AA3C0C" w:rsidRPr="00AA3C0C" w:rsidRDefault="00AA3C0C" w:rsidP="00AA3C0C">
      <w:r>
        <w:t xml:space="preserve">How big are these companies?  The primary measure we will use is revenue, and </w:t>
      </w:r>
      <w:r w:rsidR="00317F50">
        <w:t>we will</w:t>
      </w:r>
      <w:r>
        <w:t xml:space="preserve"> segment into four categories.  Next to each category, </w:t>
      </w:r>
      <w:r w:rsidR="00317F50">
        <w:t>we will</w:t>
      </w:r>
      <w:r>
        <w:t xml:space="preserve"> identify the number of North American companies in that segment.</w:t>
      </w:r>
    </w:p>
    <w:p w14:paraId="4C5F7CD9" w14:textId="6FDBB3BE" w:rsidR="0080367E" w:rsidRDefault="0080367E">
      <w:r>
        <w:rPr>
          <w:noProof/>
        </w:rPr>
        <mc:AlternateContent>
          <mc:Choice Requires="cx2">
            <w:drawing>
              <wp:inline distT="0" distB="0" distL="0" distR="0" wp14:anchorId="5A8B6926" wp14:editId="06A57944">
                <wp:extent cx="5876925" cy="3209925"/>
                <wp:effectExtent l="0" t="0" r="9525" b="9525"/>
                <wp:docPr id="1" name="Chart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BEA5FD-1A4F-4829-87EC-99A16AF462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9"/>
                  </a:graphicData>
                </a:graphic>
              </wp:inline>
            </w:drawing>
          </mc:Choice>
          <mc:Fallback>
            <w:drawing>
              <wp:inline distT="0" distB="0" distL="0" distR="0" wp14:anchorId="5A8B6926" wp14:editId="06A57944">
                <wp:extent cx="5876925" cy="3209925"/>
                <wp:effectExtent l="0" t="0" r="9525" b="9525"/>
                <wp:docPr id="1" name="Chart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BEA5FD-1A4F-4829-87EC-99A16AF462FC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hart 1">
                          <a:extLst>
                            <a:ext uri="{FF2B5EF4-FFF2-40B4-BE49-F238E27FC236}">
                              <a16:creationId xmlns:a16="http://schemas.microsoft.com/office/drawing/2014/main" id="{3ABEA5FD-1A4F-4829-87EC-99A16AF462FC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76925" cy="3209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7C339379" w14:textId="77777777" w:rsidR="00C85BF7" w:rsidRDefault="00C85BF7"/>
    <w:tbl>
      <w:tblPr>
        <w:tblStyle w:val="GridTable1Light-Accent5"/>
        <w:tblW w:w="9274" w:type="dxa"/>
        <w:tblLook w:val="0660" w:firstRow="1" w:lastRow="1" w:firstColumn="0" w:lastColumn="0" w:noHBand="1" w:noVBand="1"/>
      </w:tblPr>
      <w:tblGrid>
        <w:gridCol w:w="2898"/>
        <w:gridCol w:w="2557"/>
        <w:gridCol w:w="3819"/>
      </w:tblGrid>
      <w:tr w:rsidR="0080367E" w:rsidRPr="0080367E" w14:paraId="54E21B84" w14:textId="77777777" w:rsidTr="00AA3C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1"/>
        </w:trPr>
        <w:tc>
          <w:tcPr>
            <w:tcW w:w="2898" w:type="dxa"/>
            <w:noWrap/>
            <w:hideMark/>
          </w:tcPr>
          <w:p w14:paraId="23DE5F76" w14:textId="78FEAE31" w:rsidR="0080367E" w:rsidRPr="0080367E" w:rsidRDefault="0080367E" w:rsidP="00803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Segment Name</w:t>
            </w:r>
          </w:p>
        </w:tc>
        <w:tc>
          <w:tcPr>
            <w:tcW w:w="2557" w:type="dxa"/>
            <w:noWrap/>
            <w:hideMark/>
          </w:tcPr>
          <w:p w14:paraId="250105DD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Revenue Range</w:t>
            </w:r>
          </w:p>
        </w:tc>
        <w:tc>
          <w:tcPr>
            <w:tcW w:w="3819" w:type="dxa"/>
            <w:noWrap/>
            <w:hideMark/>
          </w:tcPr>
          <w:p w14:paraId="334ABA84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Number of Companies</w:t>
            </w:r>
          </w:p>
        </w:tc>
      </w:tr>
      <w:tr w:rsidR="0080367E" w:rsidRPr="0080367E" w14:paraId="7326BC5E" w14:textId="77777777" w:rsidTr="00AA3C0C">
        <w:trPr>
          <w:trHeight w:val="321"/>
        </w:trPr>
        <w:tc>
          <w:tcPr>
            <w:tcW w:w="2898" w:type="dxa"/>
            <w:noWrap/>
            <w:hideMark/>
          </w:tcPr>
          <w:p w14:paraId="01466E53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Teeny Tiny</w:t>
            </w:r>
          </w:p>
        </w:tc>
        <w:tc>
          <w:tcPr>
            <w:tcW w:w="2557" w:type="dxa"/>
            <w:noWrap/>
            <w:hideMark/>
          </w:tcPr>
          <w:p w14:paraId="060311B1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0-5M</w:t>
            </w:r>
          </w:p>
        </w:tc>
        <w:tc>
          <w:tcPr>
            <w:tcW w:w="3819" w:type="dxa"/>
            <w:noWrap/>
            <w:hideMark/>
          </w:tcPr>
          <w:p w14:paraId="3ECA54DF" w14:textId="77777777" w:rsidR="0080367E" w:rsidRPr="0080367E" w:rsidRDefault="0080367E" w:rsidP="0080367E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37,553</w:t>
            </w:r>
          </w:p>
        </w:tc>
      </w:tr>
      <w:tr w:rsidR="0080367E" w:rsidRPr="0080367E" w14:paraId="3F0FB757" w14:textId="77777777" w:rsidTr="00AA3C0C">
        <w:trPr>
          <w:trHeight w:val="321"/>
        </w:trPr>
        <w:tc>
          <w:tcPr>
            <w:tcW w:w="2898" w:type="dxa"/>
            <w:noWrap/>
            <w:hideMark/>
          </w:tcPr>
          <w:p w14:paraId="30155C6F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Small</w:t>
            </w:r>
          </w:p>
        </w:tc>
        <w:tc>
          <w:tcPr>
            <w:tcW w:w="2557" w:type="dxa"/>
            <w:noWrap/>
            <w:hideMark/>
          </w:tcPr>
          <w:p w14:paraId="3E87D296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5-20M</w:t>
            </w:r>
          </w:p>
        </w:tc>
        <w:tc>
          <w:tcPr>
            <w:tcW w:w="3819" w:type="dxa"/>
            <w:noWrap/>
            <w:hideMark/>
          </w:tcPr>
          <w:p w14:paraId="7BA68A2C" w14:textId="77777777" w:rsidR="0080367E" w:rsidRPr="0080367E" w:rsidRDefault="0080367E" w:rsidP="0080367E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10,586</w:t>
            </w:r>
          </w:p>
        </w:tc>
      </w:tr>
      <w:tr w:rsidR="0080367E" w:rsidRPr="0080367E" w14:paraId="5580F824" w14:textId="77777777" w:rsidTr="00AA3C0C">
        <w:trPr>
          <w:trHeight w:val="321"/>
        </w:trPr>
        <w:tc>
          <w:tcPr>
            <w:tcW w:w="2898" w:type="dxa"/>
            <w:noWrap/>
            <w:hideMark/>
          </w:tcPr>
          <w:p w14:paraId="58F95A19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Medium</w:t>
            </w:r>
          </w:p>
        </w:tc>
        <w:tc>
          <w:tcPr>
            <w:tcW w:w="2557" w:type="dxa"/>
            <w:noWrap/>
            <w:hideMark/>
          </w:tcPr>
          <w:p w14:paraId="71025496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21-50M</w:t>
            </w:r>
          </w:p>
        </w:tc>
        <w:tc>
          <w:tcPr>
            <w:tcW w:w="3819" w:type="dxa"/>
            <w:noWrap/>
            <w:hideMark/>
          </w:tcPr>
          <w:p w14:paraId="0173E0BA" w14:textId="77777777" w:rsidR="0080367E" w:rsidRPr="0080367E" w:rsidRDefault="0080367E" w:rsidP="0080367E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3,182</w:t>
            </w:r>
          </w:p>
        </w:tc>
      </w:tr>
      <w:tr w:rsidR="0080367E" w:rsidRPr="0080367E" w14:paraId="02B30DDD" w14:textId="77777777" w:rsidTr="00AA3C0C">
        <w:trPr>
          <w:trHeight w:val="321"/>
        </w:trPr>
        <w:tc>
          <w:tcPr>
            <w:tcW w:w="2898" w:type="dxa"/>
            <w:noWrap/>
            <w:hideMark/>
          </w:tcPr>
          <w:p w14:paraId="4FBC5C3D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Large</w:t>
            </w:r>
          </w:p>
        </w:tc>
        <w:tc>
          <w:tcPr>
            <w:tcW w:w="2557" w:type="dxa"/>
            <w:noWrap/>
            <w:hideMark/>
          </w:tcPr>
          <w:p w14:paraId="082B6954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51-200M</w:t>
            </w:r>
          </w:p>
        </w:tc>
        <w:tc>
          <w:tcPr>
            <w:tcW w:w="3819" w:type="dxa"/>
            <w:noWrap/>
            <w:hideMark/>
          </w:tcPr>
          <w:p w14:paraId="047474D7" w14:textId="77777777" w:rsidR="0080367E" w:rsidRPr="0080367E" w:rsidRDefault="0080367E" w:rsidP="0080367E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1,302</w:t>
            </w:r>
          </w:p>
        </w:tc>
      </w:tr>
      <w:tr w:rsidR="0080367E" w:rsidRPr="0080367E" w14:paraId="7FE81926" w14:textId="77777777" w:rsidTr="00AA3C0C">
        <w:trPr>
          <w:trHeight w:val="321"/>
        </w:trPr>
        <w:tc>
          <w:tcPr>
            <w:tcW w:w="2898" w:type="dxa"/>
            <w:noWrap/>
            <w:hideMark/>
          </w:tcPr>
          <w:p w14:paraId="2A277BC7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Mega</w:t>
            </w:r>
          </w:p>
        </w:tc>
        <w:tc>
          <w:tcPr>
            <w:tcW w:w="2557" w:type="dxa"/>
            <w:noWrap/>
            <w:hideMark/>
          </w:tcPr>
          <w:p w14:paraId="47C44661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200M+</w:t>
            </w:r>
          </w:p>
        </w:tc>
        <w:tc>
          <w:tcPr>
            <w:tcW w:w="3819" w:type="dxa"/>
            <w:noWrap/>
            <w:hideMark/>
          </w:tcPr>
          <w:p w14:paraId="4FCCD3D9" w14:textId="77777777" w:rsidR="0080367E" w:rsidRPr="0080367E" w:rsidRDefault="0080367E" w:rsidP="0080367E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768</w:t>
            </w:r>
          </w:p>
        </w:tc>
      </w:tr>
      <w:tr w:rsidR="0080367E" w:rsidRPr="0080367E" w14:paraId="2A70B3D7" w14:textId="77777777" w:rsidTr="00AA3C0C">
        <w:trPr>
          <w:trHeight w:val="321"/>
        </w:trPr>
        <w:tc>
          <w:tcPr>
            <w:tcW w:w="2898" w:type="dxa"/>
            <w:noWrap/>
            <w:hideMark/>
          </w:tcPr>
          <w:p w14:paraId="0619C789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Unknown</w:t>
            </w:r>
          </w:p>
        </w:tc>
        <w:tc>
          <w:tcPr>
            <w:tcW w:w="2557" w:type="dxa"/>
            <w:noWrap/>
            <w:hideMark/>
          </w:tcPr>
          <w:p w14:paraId="260888A5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3819" w:type="dxa"/>
            <w:noWrap/>
            <w:hideMark/>
          </w:tcPr>
          <w:p w14:paraId="306EEC6C" w14:textId="77777777" w:rsidR="0080367E" w:rsidRPr="0080367E" w:rsidRDefault="0080367E" w:rsidP="0080367E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80367E">
              <w:rPr>
                <w:rFonts w:ascii="Calibri" w:eastAsia="Times New Roman" w:hAnsi="Calibri" w:cs="Calibri"/>
                <w:color w:val="000000"/>
                <w:lang w:eastAsia="en-CA"/>
              </w:rPr>
              <w:t>30,332</w:t>
            </w:r>
          </w:p>
        </w:tc>
      </w:tr>
      <w:tr w:rsidR="0080367E" w:rsidRPr="0080367E" w14:paraId="1FF84022" w14:textId="77777777" w:rsidTr="00AA3C0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21"/>
        </w:trPr>
        <w:tc>
          <w:tcPr>
            <w:tcW w:w="2898" w:type="dxa"/>
            <w:noWrap/>
          </w:tcPr>
          <w:p w14:paraId="5172D273" w14:textId="17E21E24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Total</w:t>
            </w:r>
          </w:p>
        </w:tc>
        <w:tc>
          <w:tcPr>
            <w:tcW w:w="2557" w:type="dxa"/>
            <w:noWrap/>
          </w:tcPr>
          <w:p w14:paraId="3D0059FF" w14:textId="77777777" w:rsidR="0080367E" w:rsidRPr="0080367E" w:rsidRDefault="0080367E" w:rsidP="0080367E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3819" w:type="dxa"/>
            <w:noWrap/>
          </w:tcPr>
          <w:p w14:paraId="51896BC5" w14:textId="05F15AF6" w:rsidR="0080367E" w:rsidRPr="0080367E" w:rsidRDefault="0080367E" w:rsidP="0080367E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83,723</w:t>
            </w:r>
          </w:p>
        </w:tc>
      </w:tr>
    </w:tbl>
    <w:p w14:paraId="15B26A7E" w14:textId="77777777" w:rsidR="00721299" w:rsidRDefault="00721299"/>
    <w:p w14:paraId="3D70ECF9" w14:textId="303FD524" w:rsidR="00721299" w:rsidRDefault="00721299"/>
    <w:p w14:paraId="3CB17083" w14:textId="3E173B88" w:rsidR="00721299" w:rsidRDefault="00AA3C0C" w:rsidP="00360620">
      <w:pPr>
        <w:pStyle w:val="Heading2"/>
      </w:pPr>
      <w:r>
        <w:lastRenderedPageBreak/>
        <w:t>By Sub-Segment</w:t>
      </w:r>
    </w:p>
    <w:p w14:paraId="3D861D81" w14:textId="420C3BF4" w:rsidR="00AA3C0C" w:rsidRDefault="00AA3C0C" w:rsidP="00AA3C0C">
      <w:r>
        <w:t xml:space="preserve">What do these </w:t>
      </w:r>
      <w:r w:rsidR="00C67B78">
        <w:t xml:space="preserve">redact </w:t>
      </w:r>
      <w:r>
        <w:t>companies produce?  This is an important approach as companies in different sub-segments have different challenges that technology can help address.</w:t>
      </w:r>
      <w:r w:rsidR="006D4189">
        <w:t xml:space="preserve">  The counts below represent the leading segmentations, and only include companies that have $5M or more revenue.  This count also excludes companies with unknown revenues, which represents almost half the companies in the InsideView database.  It would be a fair assumption to double these counts.</w:t>
      </w:r>
    </w:p>
    <w:p w14:paraId="5CEAFA03" w14:textId="6FC98450" w:rsidR="00360620" w:rsidRDefault="00873867">
      <w:r>
        <w:rPr>
          <w:noProof/>
        </w:rPr>
        <w:drawing>
          <wp:inline distT="0" distB="0" distL="0" distR="0" wp14:anchorId="17BEFE41" wp14:editId="78BEA3AA">
            <wp:extent cx="5810250" cy="3073400"/>
            <wp:effectExtent l="0" t="0" r="0" b="1270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8A04CF7F-4F2F-4DAD-81BF-3AF76F03243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tbl>
      <w:tblPr>
        <w:tblStyle w:val="GridTable1Light-Accent1"/>
        <w:tblW w:w="9171" w:type="dxa"/>
        <w:tblLook w:val="0660" w:firstRow="1" w:lastRow="1" w:firstColumn="0" w:lastColumn="0" w:noHBand="1" w:noVBand="1"/>
      </w:tblPr>
      <w:tblGrid>
        <w:gridCol w:w="6937"/>
        <w:gridCol w:w="2234"/>
      </w:tblGrid>
      <w:tr w:rsidR="007C6093" w:rsidRPr="007C6093" w14:paraId="62029800" w14:textId="77777777" w:rsidTr="007C60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0"/>
        </w:trPr>
        <w:tc>
          <w:tcPr>
            <w:tcW w:w="6937" w:type="dxa"/>
            <w:noWrap/>
            <w:hideMark/>
          </w:tcPr>
          <w:p w14:paraId="06524CE5" w14:textId="77777777" w:rsidR="007C6093" w:rsidRPr="007C6093" w:rsidRDefault="007C6093" w:rsidP="007C6093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Segment</w:t>
            </w:r>
          </w:p>
        </w:tc>
        <w:tc>
          <w:tcPr>
            <w:tcW w:w="2234" w:type="dxa"/>
            <w:noWrap/>
            <w:hideMark/>
          </w:tcPr>
          <w:p w14:paraId="1E5C9D13" w14:textId="77777777" w:rsidR="007C6093" w:rsidRPr="007C6093" w:rsidRDefault="007C6093" w:rsidP="007C6093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Count</w:t>
            </w:r>
          </w:p>
        </w:tc>
      </w:tr>
      <w:tr w:rsidR="00C67B78" w:rsidRPr="007C6093" w14:paraId="634FE597" w14:textId="77777777" w:rsidTr="00C67B78">
        <w:trPr>
          <w:trHeight w:val="370"/>
        </w:trPr>
        <w:tc>
          <w:tcPr>
            <w:tcW w:w="6937" w:type="dxa"/>
            <w:noWrap/>
          </w:tcPr>
          <w:p w14:paraId="188E1763" w14:textId="0813EA1D" w:rsidR="00C67B78" w:rsidRPr="007C6093" w:rsidRDefault="00C67B78" w:rsidP="00C67B78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050E64">
              <w:t xml:space="preserve">redact </w:t>
            </w:r>
          </w:p>
        </w:tc>
        <w:tc>
          <w:tcPr>
            <w:tcW w:w="2234" w:type="dxa"/>
            <w:noWrap/>
            <w:hideMark/>
          </w:tcPr>
          <w:p w14:paraId="1E23ED36" w14:textId="77777777" w:rsidR="00C67B78" w:rsidRPr="007C6093" w:rsidRDefault="00C67B78" w:rsidP="00C67B78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3,980</w:t>
            </w:r>
          </w:p>
        </w:tc>
      </w:tr>
      <w:tr w:rsidR="00C67B78" w:rsidRPr="007C6093" w14:paraId="12ADB421" w14:textId="77777777" w:rsidTr="00C67B78">
        <w:trPr>
          <w:trHeight w:val="370"/>
        </w:trPr>
        <w:tc>
          <w:tcPr>
            <w:tcW w:w="6937" w:type="dxa"/>
            <w:noWrap/>
          </w:tcPr>
          <w:p w14:paraId="0B27BBCF" w14:textId="7F09156D" w:rsidR="00C67B78" w:rsidRPr="007C6093" w:rsidRDefault="00C67B78" w:rsidP="00C67B78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050E64">
              <w:t xml:space="preserve">redact </w:t>
            </w:r>
          </w:p>
        </w:tc>
        <w:tc>
          <w:tcPr>
            <w:tcW w:w="2234" w:type="dxa"/>
            <w:noWrap/>
            <w:hideMark/>
          </w:tcPr>
          <w:p w14:paraId="0E5CA189" w14:textId="77777777" w:rsidR="00C67B78" w:rsidRPr="007C6093" w:rsidRDefault="00C67B78" w:rsidP="00C67B78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1776</w:t>
            </w:r>
          </w:p>
        </w:tc>
      </w:tr>
      <w:tr w:rsidR="00C67B78" w:rsidRPr="007C6093" w14:paraId="060AD1AF" w14:textId="77777777" w:rsidTr="00C67B78">
        <w:trPr>
          <w:trHeight w:val="370"/>
        </w:trPr>
        <w:tc>
          <w:tcPr>
            <w:tcW w:w="6937" w:type="dxa"/>
            <w:noWrap/>
          </w:tcPr>
          <w:p w14:paraId="2CE401AC" w14:textId="1A87EDF6" w:rsidR="00C67B78" w:rsidRPr="007C6093" w:rsidRDefault="00C67B78" w:rsidP="00C67B78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050E64">
              <w:t xml:space="preserve">redact </w:t>
            </w:r>
          </w:p>
        </w:tc>
        <w:tc>
          <w:tcPr>
            <w:tcW w:w="2234" w:type="dxa"/>
            <w:noWrap/>
            <w:hideMark/>
          </w:tcPr>
          <w:p w14:paraId="4220F95A" w14:textId="77777777" w:rsidR="00C67B78" w:rsidRPr="007C6093" w:rsidRDefault="00C67B78" w:rsidP="00C67B78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1224</w:t>
            </w:r>
          </w:p>
        </w:tc>
      </w:tr>
      <w:tr w:rsidR="00C67B78" w:rsidRPr="007C6093" w14:paraId="1FC2EDE8" w14:textId="77777777" w:rsidTr="00C67B78">
        <w:trPr>
          <w:trHeight w:val="370"/>
        </w:trPr>
        <w:tc>
          <w:tcPr>
            <w:tcW w:w="6937" w:type="dxa"/>
            <w:noWrap/>
          </w:tcPr>
          <w:p w14:paraId="681ACDD6" w14:textId="6BC0B77A" w:rsidR="00C67B78" w:rsidRPr="007C6093" w:rsidRDefault="00C67B78" w:rsidP="00C67B78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050E64">
              <w:t xml:space="preserve">redact </w:t>
            </w:r>
          </w:p>
        </w:tc>
        <w:tc>
          <w:tcPr>
            <w:tcW w:w="2234" w:type="dxa"/>
            <w:noWrap/>
            <w:hideMark/>
          </w:tcPr>
          <w:p w14:paraId="67576B79" w14:textId="77777777" w:rsidR="00C67B78" w:rsidRPr="007C6093" w:rsidRDefault="00C67B78" w:rsidP="00C67B78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1012</w:t>
            </w:r>
          </w:p>
        </w:tc>
      </w:tr>
      <w:tr w:rsidR="00C67B78" w:rsidRPr="007C6093" w14:paraId="5F12C54A" w14:textId="77777777" w:rsidTr="00C67B78">
        <w:trPr>
          <w:trHeight w:val="370"/>
        </w:trPr>
        <w:tc>
          <w:tcPr>
            <w:tcW w:w="6937" w:type="dxa"/>
            <w:noWrap/>
          </w:tcPr>
          <w:p w14:paraId="142D94CE" w14:textId="5B4BBD9A" w:rsidR="00C67B78" w:rsidRPr="007C6093" w:rsidRDefault="00C67B78" w:rsidP="00C67B78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050E64">
              <w:t xml:space="preserve">redact </w:t>
            </w:r>
          </w:p>
        </w:tc>
        <w:tc>
          <w:tcPr>
            <w:tcW w:w="2234" w:type="dxa"/>
            <w:noWrap/>
            <w:hideMark/>
          </w:tcPr>
          <w:p w14:paraId="33B26D2A" w14:textId="77777777" w:rsidR="00C67B78" w:rsidRPr="007C6093" w:rsidRDefault="00C67B78" w:rsidP="00C67B78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990</w:t>
            </w:r>
          </w:p>
        </w:tc>
      </w:tr>
      <w:tr w:rsidR="00C67B78" w:rsidRPr="007C6093" w14:paraId="6D478DA0" w14:textId="77777777" w:rsidTr="00C67B78">
        <w:trPr>
          <w:trHeight w:val="370"/>
        </w:trPr>
        <w:tc>
          <w:tcPr>
            <w:tcW w:w="6937" w:type="dxa"/>
            <w:noWrap/>
          </w:tcPr>
          <w:p w14:paraId="6E278A56" w14:textId="03B5A793" w:rsidR="00C67B78" w:rsidRPr="007C6093" w:rsidRDefault="00C67B78" w:rsidP="00C67B78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050E64">
              <w:t xml:space="preserve">redact </w:t>
            </w:r>
          </w:p>
        </w:tc>
        <w:tc>
          <w:tcPr>
            <w:tcW w:w="2234" w:type="dxa"/>
            <w:noWrap/>
            <w:hideMark/>
          </w:tcPr>
          <w:p w14:paraId="7DF2F901" w14:textId="77777777" w:rsidR="00C67B78" w:rsidRPr="007C6093" w:rsidRDefault="00C67B78" w:rsidP="00C67B78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932</w:t>
            </w:r>
          </w:p>
        </w:tc>
      </w:tr>
      <w:tr w:rsidR="00C67B78" w:rsidRPr="007C6093" w14:paraId="7776918D" w14:textId="77777777" w:rsidTr="00C67B78">
        <w:trPr>
          <w:trHeight w:val="370"/>
        </w:trPr>
        <w:tc>
          <w:tcPr>
            <w:tcW w:w="6937" w:type="dxa"/>
            <w:noWrap/>
          </w:tcPr>
          <w:p w14:paraId="6D11337A" w14:textId="6AEA51B8" w:rsidR="00C67B78" w:rsidRPr="007C6093" w:rsidRDefault="00C67B78" w:rsidP="00C67B78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050E64">
              <w:t xml:space="preserve">redact </w:t>
            </w:r>
          </w:p>
        </w:tc>
        <w:tc>
          <w:tcPr>
            <w:tcW w:w="2234" w:type="dxa"/>
            <w:noWrap/>
            <w:hideMark/>
          </w:tcPr>
          <w:p w14:paraId="47F0AF01" w14:textId="77777777" w:rsidR="00C67B78" w:rsidRPr="007C6093" w:rsidRDefault="00C67B78" w:rsidP="00C67B78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764</w:t>
            </w:r>
          </w:p>
        </w:tc>
      </w:tr>
      <w:tr w:rsidR="00C67B78" w:rsidRPr="007C6093" w14:paraId="49CBD728" w14:textId="77777777" w:rsidTr="00C67B78">
        <w:trPr>
          <w:trHeight w:val="370"/>
        </w:trPr>
        <w:tc>
          <w:tcPr>
            <w:tcW w:w="6937" w:type="dxa"/>
            <w:noWrap/>
          </w:tcPr>
          <w:p w14:paraId="1ABAC669" w14:textId="3A4DFD33" w:rsidR="00C67B78" w:rsidRPr="007C6093" w:rsidRDefault="00C67B78" w:rsidP="00C67B78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050E64">
              <w:t xml:space="preserve">redact </w:t>
            </w:r>
          </w:p>
        </w:tc>
        <w:tc>
          <w:tcPr>
            <w:tcW w:w="2234" w:type="dxa"/>
            <w:noWrap/>
            <w:hideMark/>
          </w:tcPr>
          <w:p w14:paraId="0A5A6B1C" w14:textId="77777777" w:rsidR="00C67B78" w:rsidRPr="007C6093" w:rsidRDefault="00C67B78" w:rsidP="00C67B78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721</w:t>
            </w:r>
          </w:p>
        </w:tc>
      </w:tr>
      <w:tr w:rsidR="00C67B78" w:rsidRPr="007C6093" w14:paraId="043D24EE" w14:textId="77777777" w:rsidTr="00C67B78">
        <w:trPr>
          <w:trHeight w:val="370"/>
        </w:trPr>
        <w:tc>
          <w:tcPr>
            <w:tcW w:w="6937" w:type="dxa"/>
            <w:noWrap/>
          </w:tcPr>
          <w:p w14:paraId="2C09E609" w14:textId="5CF76305" w:rsidR="00C67B78" w:rsidRPr="007C6093" w:rsidRDefault="00C67B78" w:rsidP="00C67B78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050E64">
              <w:t xml:space="preserve">redact </w:t>
            </w:r>
          </w:p>
        </w:tc>
        <w:tc>
          <w:tcPr>
            <w:tcW w:w="2234" w:type="dxa"/>
            <w:noWrap/>
            <w:hideMark/>
          </w:tcPr>
          <w:p w14:paraId="12CAAC35" w14:textId="77777777" w:rsidR="00C67B78" w:rsidRPr="007C6093" w:rsidRDefault="00C67B78" w:rsidP="00C67B78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662</w:t>
            </w:r>
          </w:p>
        </w:tc>
      </w:tr>
      <w:tr w:rsidR="00C67B78" w:rsidRPr="007C6093" w14:paraId="23C3829C" w14:textId="77777777" w:rsidTr="00C67B78">
        <w:trPr>
          <w:trHeight w:val="370"/>
        </w:trPr>
        <w:tc>
          <w:tcPr>
            <w:tcW w:w="6937" w:type="dxa"/>
            <w:noWrap/>
          </w:tcPr>
          <w:p w14:paraId="38BE705D" w14:textId="199E9A53" w:rsidR="00C67B78" w:rsidRPr="007C6093" w:rsidRDefault="00C67B78" w:rsidP="00C67B78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050E64">
              <w:t xml:space="preserve">redact </w:t>
            </w:r>
          </w:p>
        </w:tc>
        <w:tc>
          <w:tcPr>
            <w:tcW w:w="2234" w:type="dxa"/>
            <w:noWrap/>
            <w:hideMark/>
          </w:tcPr>
          <w:p w14:paraId="7CE97892" w14:textId="77777777" w:rsidR="00C67B78" w:rsidRPr="007C6093" w:rsidRDefault="00C67B78" w:rsidP="00C67B78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643</w:t>
            </w:r>
          </w:p>
        </w:tc>
      </w:tr>
      <w:tr w:rsidR="00C67B78" w:rsidRPr="007C6093" w14:paraId="32143328" w14:textId="77777777" w:rsidTr="00C67B78">
        <w:trPr>
          <w:trHeight w:val="370"/>
        </w:trPr>
        <w:tc>
          <w:tcPr>
            <w:tcW w:w="6937" w:type="dxa"/>
            <w:noWrap/>
          </w:tcPr>
          <w:p w14:paraId="1E766108" w14:textId="74931E04" w:rsidR="00C67B78" w:rsidRPr="007C6093" w:rsidRDefault="00C67B78" w:rsidP="00C67B78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050E64">
              <w:t xml:space="preserve">redact </w:t>
            </w:r>
          </w:p>
        </w:tc>
        <w:tc>
          <w:tcPr>
            <w:tcW w:w="2234" w:type="dxa"/>
            <w:noWrap/>
            <w:hideMark/>
          </w:tcPr>
          <w:p w14:paraId="3E7538E3" w14:textId="77777777" w:rsidR="00C67B78" w:rsidRPr="007C6093" w:rsidRDefault="00C67B78" w:rsidP="00C67B78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587</w:t>
            </w:r>
          </w:p>
        </w:tc>
      </w:tr>
      <w:tr w:rsidR="00C67B78" w:rsidRPr="007C6093" w14:paraId="7AC4129B" w14:textId="77777777" w:rsidTr="00C67B78">
        <w:trPr>
          <w:trHeight w:val="370"/>
        </w:trPr>
        <w:tc>
          <w:tcPr>
            <w:tcW w:w="6937" w:type="dxa"/>
            <w:noWrap/>
          </w:tcPr>
          <w:p w14:paraId="4BFB6570" w14:textId="4AF384AD" w:rsidR="00C67B78" w:rsidRPr="007C6093" w:rsidRDefault="00C67B78" w:rsidP="00C67B78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050E64">
              <w:t xml:space="preserve">redact </w:t>
            </w:r>
          </w:p>
        </w:tc>
        <w:tc>
          <w:tcPr>
            <w:tcW w:w="2234" w:type="dxa"/>
            <w:noWrap/>
            <w:hideMark/>
          </w:tcPr>
          <w:p w14:paraId="066F66B6" w14:textId="77777777" w:rsidR="00C67B78" w:rsidRPr="007C6093" w:rsidRDefault="00C67B78" w:rsidP="00C67B78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328</w:t>
            </w:r>
          </w:p>
        </w:tc>
      </w:tr>
      <w:tr w:rsidR="00C67B78" w:rsidRPr="007C6093" w14:paraId="290D0F3F" w14:textId="77777777" w:rsidTr="00C67B78">
        <w:trPr>
          <w:trHeight w:val="370"/>
        </w:trPr>
        <w:tc>
          <w:tcPr>
            <w:tcW w:w="6937" w:type="dxa"/>
            <w:noWrap/>
          </w:tcPr>
          <w:p w14:paraId="4F0AB0E1" w14:textId="7B35B92F" w:rsidR="00C67B78" w:rsidRPr="007C6093" w:rsidRDefault="00C67B78" w:rsidP="00C67B78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050E64">
              <w:t xml:space="preserve">redact </w:t>
            </w:r>
          </w:p>
        </w:tc>
        <w:tc>
          <w:tcPr>
            <w:tcW w:w="2234" w:type="dxa"/>
            <w:noWrap/>
            <w:hideMark/>
          </w:tcPr>
          <w:p w14:paraId="68308938" w14:textId="77777777" w:rsidR="00C67B78" w:rsidRPr="007C6093" w:rsidRDefault="00C67B78" w:rsidP="00C67B78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C6093">
              <w:rPr>
                <w:rFonts w:ascii="Calibri" w:eastAsia="Times New Roman" w:hAnsi="Calibri" w:cs="Calibri"/>
                <w:color w:val="000000"/>
                <w:lang w:eastAsia="en-CA"/>
              </w:rPr>
              <w:t>264</w:t>
            </w:r>
          </w:p>
        </w:tc>
      </w:tr>
      <w:tr w:rsidR="007C6093" w:rsidRPr="007C6093" w14:paraId="09267D2B" w14:textId="77777777" w:rsidTr="007C609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0"/>
        </w:trPr>
        <w:tc>
          <w:tcPr>
            <w:tcW w:w="6937" w:type="dxa"/>
            <w:noWrap/>
          </w:tcPr>
          <w:p w14:paraId="47DE24F1" w14:textId="2F78BD48" w:rsidR="007C6093" w:rsidRPr="007C6093" w:rsidRDefault="007C6093" w:rsidP="007C6093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Total </w:t>
            </w:r>
          </w:p>
        </w:tc>
        <w:tc>
          <w:tcPr>
            <w:tcW w:w="2234" w:type="dxa"/>
            <w:noWrap/>
          </w:tcPr>
          <w:p w14:paraId="303C0206" w14:textId="424F8271" w:rsidR="007C6093" w:rsidRPr="007C6093" w:rsidRDefault="00EF34D0" w:rsidP="007C6093">
            <w:pPr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13,883</w:t>
            </w:r>
          </w:p>
        </w:tc>
      </w:tr>
    </w:tbl>
    <w:p w14:paraId="53AB8734" w14:textId="16373BB7" w:rsidR="006D4189" w:rsidRDefault="00EF34D0">
      <w:r>
        <w:lastRenderedPageBreak/>
        <w:t>Note, that only 13,883 of the companies</w:t>
      </w:r>
      <w:r w:rsidR="00360620">
        <w:t xml:space="preserve"> of the total 83,723 are represented in this chart.  This is because of filters on unknown revenue, revenue less than $5M, and segments not represented on this list.</w:t>
      </w:r>
    </w:p>
    <w:p w14:paraId="4E6819CE" w14:textId="70C5745D" w:rsidR="00DF1815" w:rsidRDefault="00DF1815" w:rsidP="002E2029">
      <w:pPr>
        <w:pStyle w:val="Heading2"/>
      </w:pPr>
      <w:r>
        <w:t>Other Segmentation Options</w:t>
      </w:r>
    </w:p>
    <w:p w14:paraId="620DF770" w14:textId="77777777" w:rsidR="002E2029" w:rsidRPr="002E2029" w:rsidRDefault="002E2029" w:rsidP="002E2029"/>
    <w:p w14:paraId="14427EC8" w14:textId="2121740D" w:rsidR="00DF1815" w:rsidRDefault="00DF1815">
      <w:r>
        <w:t>Not mutually exclusive, there are other segmentation options.  These include targeting companies that have specific requirements or are facing certain trigger events:</w:t>
      </w:r>
    </w:p>
    <w:p w14:paraId="01441A10" w14:textId="26053BA5" w:rsidR="006E3D26" w:rsidRDefault="006E3D26" w:rsidP="007D148E">
      <w:pPr>
        <w:pStyle w:val="Heading1"/>
      </w:pPr>
      <w:r>
        <w:t>Target Market</w:t>
      </w:r>
    </w:p>
    <w:p w14:paraId="31CDE1E3" w14:textId="77777777" w:rsidR="00BD45BE" w:rsidRPr="00BD45BE" w:rsidRDefault="00BD45BE" w:rsidP="00BD45BE"/>
    <w:p w14:paraId="2B97B1C0" w14:textId="0194B314" w:rsidR="006E3D26" w:rsidRDefault="000C3B25">
      <w:r>
        <w:t>REDACT</w:t>
      </w:r>
      <w:r w:rsidR="006E3D26">
        <w:t xml:space="preserve"> will target the following </w:t>
      </w:r>
      <w:r w:rsidR="00F42E3E">
        <w:t>segments with their software offerings.</w:t>
      </w:r>
    </w:p>
    <w:p w14:paraId="0033B4F9" w14:textId="40A75C29" w:rsidR="00F42E3E" w:rsidRDefault="00685495">
      <w:r>
        <w:t xml:space="preserve">Small, Medium, and </w:t>
      </w:r>
      <w:proofErr w:type="gramStart"/>
      <w:r>
        <w:t>Large</w:t>
      </w:r>
      <w:proofErr w:type="gramEnd"/>
      <w:r>
        <w:t xml:space="preserve"> food producers and distributors with specific industry focus on</w:t>
      </w:r>
      <w:r w:rsidR="00DA02E8">
        <w:t xml:space="preserve">. </w:t>
      </w:r>
    </w:p>
    <w:p w14:paraId="20B85CA7" w14:textId="2B6DBE99" w:rsidR="00721299" w:rsidRDefault="00721299" w:rsidP="007D148E">
      <w:pPr>
        <w:pStyle w:val="Heading1"/>
      </w:pPr>
      <w:r>
        <w:t>Total Addressable Market</w:t>
      </w:r>
    </w:p>
    <w:p w14:paraId="2C35B346" w14:textId="77777777" w:rsidR="00BD45BE" w:rsidRPr="00BD45BE" w:rsidRDefault="00BD45BE" w:rsidP="00BD45BE"/>
    <w:p w14:paraId="765DC227" w14:textId="1CD37D4F" w:rsidR="00721299" w:rsidRDefault="00DA02E8">
      <w:r>
        <w:t xml:space="preserve">The total addressable market for this </w:t>
      </w:r>
      <w:r w:rsidR="009C3D6B">
        <w:t xml:space="preserve">target market is </w:t>
      </w:r>
      <w:r w:rsidR="009C3D6B" w:rsidRPr="007D148E">
        <w:rPr>
          <w:b/>
          <w:bCs/>
        </w:rPr>
        <w:t>9,895</w:t>
      </w:r>
      <w:r w:rsidR="009C3D6B">
        <w:t xml:space="preserve"> companies that have known revenue</w:t>
      </w:r>
      <w:r w:rsidR="00631077">
        <w:t xml:space="preserve">.  There are a further </w:t>
      </w:r>
      <w:r w:rsidR="00631077" w:rsidRPr="007D148E">
        <w:rPr>
          <w:b/>
          <w:bCs/>
        </w:rPr>
        <w:t>30,230</w:t>
      </w:r>
      <w:r w:rsidR="00631077">
        <w:t xml:space="preserve"> companies in these segments where revenue is unknown.  Extrapolating the </w:t>
      </w:r>
      <w:r w:rsidR="007D148E">
        <w:t>data, a safe assumption is that there are 15,000-25,000 companies in the targeted segments in North America.</w:t>
      </w:r>
    </w:p>
    <w:p w14:paraId="26788B4F" w14:textId="798516BC" w:rsidR="00DA02E8" w:rsidRDefault="00DA02E8"/>
    <w:p w14:paraId="01C61D9E" w14:textId="77777777" w:rsidR="00DA02E8" w:rsidRDefault="00DA02E8"/>
    <w:p w14:paraId="3A9E8A10" w14:textId="7A81EDAF" w:rsidR="00721299" w:rsidRDefault="00721299" w:rsidP="00465BD3">
      <w:pPr>
        <w:pStyle w:val="Heading1"/>
      </w:pPr>
      <w:r>
        <w:t>Waterfall Execution</w:t>
      </w:r>
    </w:p>
    <w:p w14:paraId="65885ED7" w14:textId="77777777" w:rsidR="00465BD3" w:rsidRPr="00465BD3" w:rsidRDefault="00465BD3" w:rsidP="00465BD3"/>
    <w:p w14:paraId="594FFEEB" w14:textId="5478DEFE" w:rsidR="004E75F2" w:rsidRDefault="004E75F2" w:rsidP="004E75F2">
      <w:r>
        <w:t xml:space="preserve">Let’s assume that no more than 10% of the Total Addressable Market would be actively engaged in a buying process for </w:t>
      </w:r>
      <w:r w:rsidR="003564CC">
        <w:t>s</w:t>
      </w:r>
      <w:r>
        <w:t xml:space="preserve">olutions that </w:t>
      </w:r>
      <w:r w:rsidR="000C3B25">
        <w:t>REDACT</w:t>
      </w:r>
      <w:r>
        <w:t xml:space="preserve"> supplies in any given year.  </w:t>
      </w:r>
    </w:p>
    <w:p w14:paraId="6CF373D5" w14:textId="3DB94775" w:rsidR="004E75F2" w:rsidRDefault="004E75F2" w:rsidP="004E75F2">
      <w:r>
        <w:t xml:space="preserve">Let’s also present three scenarios.  Scenario 1; where </w:t>
      </w:r>
      <w:r w:rsidR="000C3B25">
        <w:t>REDACT</w:t>
      </w:r>
      <w:r>
        <w:t xml:space="preserve"> adds </w:t>
      </w:r>
      <w:r w:rsidR="003564CC">
        <w:t>20</w:t>
      </w:r>
      <w:r>
        <w:t xml:space="preserve"> new customers per year; Scenario 2 adding </w:t>
      </w:r>
      <w:r w:rsidR="003564CC">
        <w:t>30</w:t>
      </w:r>
      <w:r>
        <w:t xml:space="preserve"> new customers per year, Scenario 3 adding </w:t>
      </w:r>
      <w:r w:rsidR="003564CC">
        <w:t>40</w:t>
      </w:r>
      <w:r>
        <w:t xml:space="preserve"> new customers per year</w:t>
      </w:r>
      <w:r w:rsidR="00465BD3">
        <w:t>.</w:t>
      </w:r>
    </w:p>
    <w:tbl>
      <w:tblPr>
        <w:tblStyle w:val="GridTable4-Accent5"/>
        <w:tblW w:w="0" w:type="auto"/>
        <w:tblLook w:val="0620" w:firstRow="1" w:lastRow="0" w:firstColumn="0" w:lastColumn="0" w:noHBand="1" w:noVBand="1"/>
      </w:tblPr>
      <w:tblGrid>
        <w:gridCol w:w="1344"/>
        <w:gridCol w:w="2762"/>
        <w:gridCol w:w="1276"/>
        <w:gridCol w:w="1276"/>
        <w:gridCol w:w="1275"/>
        <w:gridCol w:w="1276"/>
      </w:tblGrid>
      <w:tr w:rsidR="004E75F2" w:rsidRPr="00C74393" w14:paraId="2434078A" w14:textId="77777777" w:rsidTr="00A773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tcW w:w="1344" w:type="dxa"/>
            <w:hideMark/>
          </w:tcPr>
          <w:p w14:paraId="52AF92E3" w14:textId="77777777" w:rsidR="004E75F2" w:rsidRPr="00C74393" w:rsidRDefault="004E75F2" w:rsidP="00A773C3">
            <w:r w:rsidRPr="00C74393">
              <w:t>Stage</w:t>
            </w:r>
          </w:p>
        </w:tc>
        <w:tc>
          <w:tcPr>
            <w:tcW w:w="2762" w:type="dxa"/>
            <w:hideMark/>
          </w:tcPr>
          <w:p w14:paraId="34A2E682" w14:textId="77777777" w:rsidR="004E75F2" w:rsidRPr="00C74393" w:rsidRDefault="004E75F2" w:rsidP="00A773C3">
            <w:r w:rsidRPr="00C74393">
              <w:t>Conversion </w:t>
            </w:r>
          </w:p>
        </w:tc>
        <w:tc>
          <w:tcPr>
            <w:tcW w:w="1276" w:type="dxa"/>
            <w:hideMark/>
          </w:tcPr>
          <w:p w14:paraId="6871CD1C" w14:textId="77777777" w:rsidR="004E75F2" w:rsidRPr="00C74393" w:rsidRDefault="004E75F2" w:rsidP="00A773C3">
            <w:pPr>
              <w:jc w:val="right"/>
            </w:pPr>
            <w:r w:rsidRPr="00C74393">
              <w:t>Conversion Rates</w:t>
            </w:r>
          </w:p>
        </w:tc>
        <w:tc>
          <w:tcPr>
            <w:tcW w:w="1276" w:type="dxa"/>
            <w:hideMark/>
          </w:tcPr>
          <w:p w14:paraId="70D69ABD" w14:textId="77777777" w:rsidR="004E75F2" w:rsidRPr="00C74393" w:rsidRDefault="004E75F2" w:rsidP="00A773C3">
            <w:r>
              <w:rPr>
                <w:b w:val="0"/>
                <w:bCs w:val="0"/>
              </w:rPr>
              <w:t>Scenario 1</w:t>
            </w:r>
          </w:p>
        </w:tc>
        <w:tc>
          <w:tcPr>
            <w:tcW w:w="1275" w:type="dxa"/>
            <w:hideMark/>
          </w:tcPr>
          <w:p w14:paraId="73FB3041" w14:textId="77777777" w:rsidR="004E75F2" w:rsidRPr="00C74393" w:rsidRDefault="004E75F2" w:rsidP="00A773C3">
            <w:r>
              <w:rPr>
                <w:b w:val="0"/>
                <w:bCs w:val="0"/>
              </w:rPr>
              <w:t>Scenario 2</w:t>
            </w:r>
          </w:p>
        </w:tc>
        <w:tc>
          <w:tcPr>
            <w:tcW w:w="1276" w:type="dxa"/>
            <w:hideMark/>
          </w:tcPr>
          <w:p w14:paraId="06772787" w14:textId="77777777" w:rsidR="004E75F2" w:rsidRPr="00C74393" w:rsidRDefault="004E75F2" w:rsidP="00A773C3">
            <w:r>
              <w:rPr>
                <w:b w:val="0"/>
                <w:bCs w:val="0"/>
              </w:rPr>
              <w:t>Scenario 3</w:t>
            </w:r>
          </w:p>
        </w:tc>
      </w:tr>
      <w:tr w:rsidR="00F81525" w:rsidRPr="00C74393" w14:paraId="0F17C43D" w14:textId="77777777" w:rsidTr="00E55E38">
        <w:trPr>
          <w:trHeight w:val="532"/>
        </w:trPr>
        <w:tc>
          <w:tcPr>
            <w:tcW w:w="1344" w:type="dxa"/>
            <w:hideMark/>
          </w:tcPr>
          <w:p w14:paraId="7B11F406" w14:textId="77777777" w:rsidR="00F81525" w:rsidRPr="00154AAC" w:rsidRDefault="00F81525" w:rsidP="00F81525">
            <w:pPr>
              <w:rPr>
                <w:b/>
                <w:bCs/>
              </w:rPr>
            </w:pPr>
            <w:r w:rsidRPr="00154AAC">
              <w:rPr>
                <w:b/>
                <w:bCs/>
              </w:rPr>
              <w:t>Engaged</w:t>
            </w:r>
          </w:p>
        </w:tc>
        <w:tc>
          <w:tcPr>
            <w:tcW w:w="2762" w:type="dxa"/>
            <w:hideMark/>
          </w:tcPr>
          <w:p w14:paraId="7ACB818A" w14:textId="77777777" w:rsidR="00F81525" w:rsidRPr="00C74393" w:rsidRDefault="00F81525" w:rsidP="00F81525">
            <w:r w:rsidRPr="00C74393">
              <w:t>Active</w:t>
            </w:r>
            <w:r>
              <w:t xml:space="preserve"> to </w:t>
            </w:r>
            <w:r w:rsidRPr="00C74393">
              <w:t>Engaged</w:t>
            </w:r>
          </w:p>
        </w:tc>
        <w:tc>
          <w:tcPr>
            <w:tcW w:w="1276" w:type="dxa"/>
            <w:shd w:val="clear" w:color="auto" w:fill="F2F2F2" w:themeFill="background1" w:themeFillShade="F2"/>
            <w:hideMark/>
          </w:tcPr>
          <w:p w14:paraId="6C35729B" w14:textId="77777777" w:rsidR="00F81525" w:rsidRPr="00C74393" w:rsidRDefault="00F81525" w:rsidP="00F81525">
            <w:pPr>
              <w:jc w:val="right"/>
            </w:pPr>
            <w:r w:rsidRPr="00C74393">
              <w:t> </w:t>
            </w:r>
            <w:r>
              <w:t>-</w:t>
            </w:r>
          </w:p>
        </w:tc>
        <w:tc>
          <w:tcPr>
            <w:tcW w:w="1276" w:type="dxa"/>
            <w:vAlign w:val="center"/>
            <w:hideMark/>
          </w:tcPr>
          <w:p w14:paraId="597A9EAA" w14:textId="2A9305EC" w:rsidR="00F81525" w:rsidRPr="00C74393" w:rsidRDefault="00F81525" w:rsidP="00F81525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1111</w:t>
            </w:r>
          </w:p>
        </w:tc>
        <w:tc>
          <w:tcPr>
            <w:tcW w:w="1275" w:type="dxa"/>
            <w:vAlign w:val="center"/>
            <w:hideMark/>
          </w:tcPr>
          <w:p w14:paraId="5025D16C" w14:textId="56A044B2" w:rsidR="00F81525" w:rsidRPr="00C74393" w:rsidRDefault="00F81525" w:rsidP="00F81525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1667</w:t>
            </w:r>
          </w:p>
        </w:tc>
        <w:tc>
          <w:tcPr>
            <w:tcW w:w="1276" w:type="dxa"/>
            <w:vAlign w:val="center"/>
            <w:hideMark/>
          </w:tcPr>
          <w:p w14:paraId="55E00B21" w14:textId="686378CB" w:rsidR="00F81525" w:rsidRPr="00C74393" w:rsidRDefault="00F81525" w:rsidP="00F81525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2222</w:t>
            </w:r>
          </w:p>
        </w:tc>
      </w:tr>
      <w:tr w:rsidR="00F81525" w:rsidRPr="00C74393" w14:paraId="7F17CB8F" w14:textId="77777777" w:rsidTr="00E55E38">
        <w:trPr>
          <w:trHeight w:val="585"/>
        </w:trPr>
        <w:tc>
          <w:tcPr>
            <w:tcW w:w="1344" w:type="dxa"/>
            <w:hideMark/>
          </w:tcPr>
          <w:p w14:paraId="1DD00412" w14:textId="77777777" w:rsidR="00F81525" w:rsidRPr="00154AAC" w:rsidRDefault="00F81525" w:rsidP="00F81525">
            <w:pPr>
              <w:rPr>
                <w:b/>
                <w:bCs/>
              </w:rPr>
            </w:pPr>
            <w:r w:rsidRPr="00154AAC">
              <w:rPr>
                <w:b/>
                <w:bCs/>
              </w:rPr>
              <w:t>Prioritized</w:t>
            </w:r>
          </w:p>
        </w:tc>
        <w:tc>
          <w:tcPr>
            <w:tcW w:w="2762" w:type="dxa"/>
            <w:hideMark/>
          </w:tcPr>
          <w:p w14:paraId="5038EAF3" w14:textId="77777777" w:rsidR="00F81525" w:rsidRPr="00C74393" w:rsidRDefault="00F81525" w:rsidP="00F81525">
            <w:r w:rsidRPr="00C74393">
              <w:t>Engaged</w:t>
            </w:r>
            <w:r>
              <w:t xml:space="preserve"> to </w:t>
            </w:r>
            <w:r w:rsidRPr="00C74393">
              <w:t>Prioritized</w:t>
            </w:r>
          </w:p>
        </w:tc>
        <w:tc>
          <w:tcPr>
            <w:tcW w:w="1276" w:type="dxa"/>
            <w:shd w:val="clear" w:color="auto" w:fill="F2F2F2" w:themeFill="background1" w:themeFillShade="F2"/>
            <w:hideMark/>
          </w:tcPr>
          <w:p w14:paraId="329A3FE6" w14:textId="77777777" w:rsidR="00F81525" w:rsidRPr="00C74393" w:rsidRDefault="00F81525" w:rsidP="00F81525">
            <w:pPr>
              <w:jc w:val="right"/>
            </w:pPr>
            <w:r w:rsidRPr="008D6DD6">
              <w:t>10%</w:t>
            </w:r>
          </w:p>
        </w:tc>
        <w:tc>
          <w:tcPr>
            <w:tcW w:w="1276" w:type="dxa"/>
            <w:vAlign w:val="center"/>
            <w:hideMark/>
          </w:tcPr>
          <w:p w14:paraId="6292294D" w14:textId="54F587B7" w:rsidR="00F81525" w:rsidRPr="00C74393" w:rsidRDefault="00F81525" w:rsidP="00F81525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1275" w:type="dxa"/>
            <w:vAlign w:val="center"/>
            <w:hideMark/>
          </w:tcPr>
          <w:p w14:paraId="1C476B82" w14:textId="2482549F" w:rsidR="00F81525" w:rsidRPr="00C74393" w:rsidRDefault="00F81525" w:rsidP="00F81525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167</w:t>
            </w:r>
          </w:p>
        </w:tc>
        <w:tc>
          <w:tcPr>
            <w:tcW w:w="1276" w:type="dxa"/>
            <w:vAlign w:val="center"/>
            <w:hideMark/>
          </w:tcPr>
          <w:p w14:paraId="7AF4095A" w14:textId="723B6F24" w:rsidR="00F81525" w:rsidRPr="00C74393" w:rsidRDefault="00F81525" w:rsidP="00F81525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222</w:t>
            </w:r>
          </w:p>
        </w:tc>
      </w:tr>
      <w:tr w:rsidR="00F81525" w:rsidRPr="00C74393" w14:paraId="00057544" w14:textId="77777777" w:rsidTr="00E55E38">
        <w:trPr>
          <w:trHeight w:val="585"/>
        </w:trPr>
        <w:tc>
          <w:tcPr>
            <w:tcW w:w="1344" w:type="dxa"/>
            <w:hideMark/>
          </w:tcPr>
          <w:p w14:paraId="4EE9358B" w14:textId="77777777" w:rsidR="00F81525" w:rsidRPr="00154AAC" w:rsidRDefault="00F81525" w:rsidP="00F81525">
            <w:pPr>
              <w:rPr>
                <w:b/>
                <w:bCs/>
              </w:rPr>
            </w:pPr>
            <w:r w:rsidRPr="00154AAC">
              <w:rPr>
                <w:b/>
                <w:bCs/>
              </w:rPr>
              <w:t>Qualified</w:t>
            </w:r>
          </w:p>
        </w:tc>
        <w:tc>
          <w:tcPr>
            <w:tcW w:w="2762" w:type="dxa"/>
            <w:hideMark/>
          </w:tcPr>
          <w:p w14:paraId="63B7F46E" w14:textId="77777777" w:rsidR="00F81525" w:rsidRPr="00C74393" w:rsidRDefault="00F81525" w:rsidP="00F81525">
            <w:r w:rsidRPr="00C74393">
              <w:t>Prioritized</w:t>
            </w:r>
            <w:r>
              <w:t xml:space="preserve"> to </w:t>
            </w:r>
            <w:r w:rsidRPr="00C74393">
              <w:t>Qualified</w:t>
            </w:r>
          </w:p>
        </w:tc>
        <w:tc>
          <w:tcPr>
            <w:tcW w:w="1276" w:type="dxa"/>
            <w:shd w:val="clear" w:color="auto" w:fill="F2F2F2" w:themeFill="background1" w:themeFillShade="F2"/>
            <w:hideMark/>
          </w:tcPr>
          <w:p w14:paraId="2328FF1F" w14:textId="77777777" w:rsidR="00F81525" w:rsidRPr="00C74393" w:rsidRDefault="00F81525" w:rsidP="00F81525">
            <w:pPr>
              <w:jc w:val="right"/>
            </w:pPr>
            <w:r w:rsidRPr="008D6DD6">
              <w:t>60%</w:t>
            </w:r>
          </w:p>
        </w:tc>
        <w:tc>
          <w:tcPr>
            <w:tcW w:w="1276" w:type="dxa"/>
            <w:vAlign w:val="center"/>
            <w:hideMark/>
          </w:tcPr>
          <w:p w14:paraId="76D015F6" w14:textId="0A22E4CB" w:rsidR="00F81525" w:rsidRPr="00C74393" w:rsidRDefault="00F81525" w:rsidP="00F81525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1275" w:type="dxa"/>
            <w:vAlign w:val="center"/>
            <w:hideMark/>
          </w:tcPr>
          <w:p w14:paraId="27E76612" w14:textId="32CAF220" w:rsidR="00F81525" w:rsidRPr="00C74393" w:rsidRDefault="00F81525" w:rsidP="00F81525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14:paraId="734382FF" w14:textId="4EA0CC99" w:rsidR="00F81525" w:rsidRPr="00C74393" w:rsidRDefault="00F81525" w:rsidP="00F81525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133</w:t>
            </w:r>
          </w:p>
        </w:tc>
      </w:tr>
      <w:tr w:rsidR="00F81525" w:rsidRPr="00C74393" w14:paraId="76579D72" w14:textId="77777777" w:rsidTr="00E55E38">
        <w:trPr>
          <w:trHeight w:val="515"/>
        </w:trPr>
        <w:tc>
          <w:tcPr>
            <w:tcW w:w="1344" w:type="dxa"/>
            <w:hideMark/>
          </w:tcPr>
          <w:p w14:paraId="6C70524B" w14:textId="77777777" w:rsidR="00F81525" w:rsidRPr="00154AAC" w:rsidRDefault="00F81525" w:rsidP="00F81525">
            <w:pPr>
              <w:rPr>
                <w:b/>
                <w:bCs/>
              </w:rPr>
            </w:pPr>
            <w:r w:rsidRPr="00154AAC">
              <w:rPr>
                <w:b/>
                <w:bCs/>
              </w:rPr>
              <w:t>Pipeline</w:t>
            </w:r>
          </w:p>
        </w:tc>
        <w:tc>
          <w:tcPr>
            <w:tcW w:w="2762" w:type="dxa"/>
            <w:hideMark/>
          </w:tcPr>
          <w:p w14:paraId="2C1207FA" w14:textId="77777777" w:rsidR="00F81525" w:rsidRPr="00C74393" w:rsidRDefault="00F81525" w:rsidP="00F81525">
            <w:r w:rsidRPr="00C74393">
              <w:t>Qualified</w:t>
            </w:r>
            <w:r>
              <w:t xml:space="preserve"> to </w:t>
            </w:r>
            <w:r w:rsidRPr="00C74393">
              <w:t>Pipe</w:t>
            </w:r>
          </w:p>
        </w:tc>
        <w:tc>
          <w:tcPr>
            <w:tcW w:w="1276" w:type="dxa"/>
            <w:shd w:val="clear" w:color="auto" w:fill="F2F2F2" w:themeFill="background1" w:themeFillShade="F2"/>
            <w:hideMark/>
          </w:tcPr>
          <w:p w14:paraId="4AC8C57B" w14:textId="77777777" w:rsidR="00F81525" w:rsidRPr="00C74393" w:rsidRDefault="00F81525" w:rsidP="00F81525">
            <w:pPr>
              <w:jc w:val="right"/>
            </w:pPr>
            <w:r w:rsidRPr="008D6DD6">
              <w:t>100%</w:t>
            </w:r>
          </w:p>
        </w:tc>
        <w:tc>
          <w:tcPr>
            <w:tcW w:w="1276" w:type="dxa"/>
            <w:vAlign w:val="center"/>
            <w:hideMark/>
          </w:tcPr>
          <w:p w14:paraId="134CDA5A" w14:textId="6E123170" w:rsidR="00F81525" w:rsidRPr="00C74393" w:rsidRDefault="00F81525" w:rsidP="00F81525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1275" w:type="dxa"/>
            <w:vAlign w:val="center"/>
            <w:hideMark/>
          </w:tcPr>
          <w:p w14:paraId="066159EF" w14:textId="47F2B6EC" w:rsidR="00F81525" w:rsidRPr="00C74393" w:rsidRDefault="00F81525" w:rsidP="00F81525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14:paraId="5FC3D1E1" w14:textId="1D0A4B34" w:rsidR="00F81525" w:rsidRPr="00C74393" w:rsidRDefault="00F81525" w:rsidP="00F81525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133</w:t>
            </w:r>
          </w:p>
        </w:tc>
      </w:tr>
      <w:tr w:rsidR="00F81525" w:rsidRPr="00C74393" w14:paraId="6B340DAD" w14:textId="77777777" w:rsidTr="00E55E38">
        <w:trPr>
          <w:trHeight w:val="585"/>
        </w:trPr>
        <w:tc>
          <w:tcPr>
            <w:tcW w:w="1344" w:type="dxa"/>
            <w:hideMark/>
          </w:tcPr>
          <w:p w14:paraId="1A401028" w14:textId="77777777" w:rsidR="00F81525" w:rsidRPr="00154AAC" w:rsidRDefault="00F81525" w:rsidP="00F81525">
            <w:pPr>
              <w:rPr>
                <w:b/>
                <w:bCs/>
              </w:rPr>
            </w:pPr>
            <w:r w:rsidRPr="00154AAC">
              <w:rPr>
                <w:b/>
                <w:bCs/>
              </w:rPr>
              <w:lastRenderedPageBreak/>
              <w:t>Close</w:t>
            </w:r>
          </w:p>
        </w:tc>
        <w:tc>
          <w:tcPr>
            <w:tcW w:w="2762" w:type="dxa"/>
            <w:hideMark/>
          </w:tcPr>
          <w:p w14:paraId="26B89E2F" w14:textId="77777777" w:rsidR="00F81525" w:rsidRPr="00C74393" w:rsidRDefault="00F81525" w:rsidP="00F81525">
            <w:r w:rsidRPr="00C74393">
              <w:t>Pipe</w:t>
            </w:r>
            <w:r>
              <w:t xml:space="preserve"> to </w:t>
            </w:r>
            <w:r w:rsidRPr="00C74393">
              <w:t>Close Won</w:t>
            </w:r>
          </w:p>
        </w:tc>
        <w:tc>
          <w:tcPr>
            <w:tcW w:w="1276" w:type="dxa"/>
            <w:shd w:val="clear" w:color="auto" w:fill="F2F2F2" w:themeFill="background1" w:themeFillShade="F2"/>
            <w:hideMark/>
          </w:tcPr>
          <w:p w14:paraId="139927C6" w14:textId="77777777" w:rsidR="00F81525" w:rsidRPr="00C74393" w:rsidRDefault="00F81525" w:rsidP="00F81525">
            <w:pPr>
              <w:jc w:val="right"/>
            </w:pPr>
            <w:r w:rsidRPr="008D6DD6">
              <w:t>30%</w:t>
            </w:r>
          </w:p>
        </w:tc>
        <w:tc>
          <w:tcPr>
            <w:tcW w:w="1276" w:type="dxa"/>
            <w:vAlign w:val="center"/>
            <w:hideMark/>
          </w:tcPr>
          <w:p w14:paraId="7597A155" w14:textId="5B5AC6CA" w:rsidR="00F81525" w:rsidRPr="00701FF3" w:rsidRDefault="00F81525" w:rsidP="00F81525">
            <w:pPr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275" w:type="dxa"/>
            <w:vAlign w:val="center"/>
            <w:hideMark/>
          </w:tcPr>
          <w:p w14:paraId="551521E1" w14:textId="593D3055" w:rsidR="00F81525" w:rsidRPr="00701FF3" w:rsidRDefault="00F81525" w:rsidP="00F81525">
            <w:pPr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276" w:type="dxa"/>
            <w:vAlign w:val="center"/>
            <w:hideMark/>
          </w:tcPr>
          <w:p w14:paraId="26C19313" w14:textId="51CA3D9F" w:rsidR="00F81525" w:rsidRPr="00701FF3" w:rsidRDefault="00F81525" w:rsidP="00F81525">
            <w:pPr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</w:tr>
    </w:tbl>
    <w:p w14:paraId="46FD9484" w14:textId="77777777" w:rsidR="004E75F2" w:rsidRDefault="004E75F2" w:rsidP="004E75F2"/>
    <w:p w14:paraId="093770BC" w14:textId="42DD73F8" w:rsidR="004E75F2" w:rsidRDefault="004E75F2" w:rsidP="004E75F2">
      <w:r>
        <w:t xml:space="preserve">The chart above presents reasonable funnel conversion rates from Engaged to Closed Won.  For example, in Scenario 1 if the business wants to add </w:t>
      </w:r>
      <w:r w:rsidR="003564CC">
        <w:t>20</w:t>
      </w:r>
      <w:r>
        <w:t xml:space="preserve"> customers in a year, we need to engage with </w:t>
      </w:r>
      <w:r w:rsidR="003564CC">
        <w:t>1111</w:t>
      </w:r>
      <w:r>
        <w:t xml:space="preserve"> companies.  In Scenario 3 If we want to add 30 new customers per </w:t>
      </w:r>
      <w:proofErr w:type="gramStart"/>
      <w:r>
        <w:t>year</w:t>
      </w:r>
      <w:proofErr w:type="gramEnd"/>
      <w:r>
        <w:t xml:space="preserve"> we know that we would need to engage with 1667 companies who are actively looking for a solution.</w:t>
      </w:r>
    </w:p>
    <w:p w14:paraId="44B6DB0B" w14:textId="2D322192" w:rsidR="00D606D7" w:rsidRDefault="00D606D7" w:rsidP="004E75F2">
      <w:r>
        <w:t xml:space="preserve">Scenario 3 provides a scale validation.  To close 40 new customers each year, </w:t>
      </w:r>
      <w:r w:rsidR="000C3B25">
        <w:t>REDACT</w:t>
      </w:r>
      <w:r>
        <w:t xml:space="preserve"> needs to add 133 deals into its pipeline</w:t>
      </w:r>
      <w:r w:rsidR="00D92D55">
        <w:t xml:space="preserve"> based on these conversion assumptions.  This </w:t>
      </w:r>
      <w:r w:rsidR="00465BD3">
        <w:t xml:space="preserve">level would be aspirational in the first year.  </w:t>
      </w:r>
    </w:p>
    <w:p w14:paraId="05E26453" w14:textId="592F771A" w:rsidR="00721299" w:rsidRDefault="00721299"/>
    <w:p w14:paraId="2F125BE4" w14:textId="77777777" w:rsidR="008B4786" w:rsidRDefault="008B4786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82D2853" w14:textId="40C70B89" w:rsidR="00721299" w:rsidRDefault="00721299" w:rsidP="007F3629">
      <w:pPr>
        <w:pStyle w:val="Heading1"/>
      </w:pPr>
      <w:r>
        <w:lastRenderedPageBreak/>
        <w:t>Conclusion</w:t>
      </w:r>
    </w:p>
    <w:p w14:paraId="2D77BA43" w14:textId="77777777" w:rsidR="007F3629" w:rsidRDefault="007F3629" w:rsidP="007F3629"/>
    <w:p w14:paraId="06E111B7" w14:textId="7E3D28AB" w:rsidR="007F3629" w:rsidRDefault="007F3629" w:rsidP="007F3629">
      <w:r>
        <w:t>Based on our funnel conversion and TAM assumptions, we should expect between 20 and 30 new customers per year.  To increase the number of customers we would need to:</w:t>
      </w:r>
    </w:p>
    <w:p w14:paraId="2EFDC985" w14:textId="787D45BF" w:rsidR="007F3629" w:rsidRDefault="007F3629" w:rsidP="007F3629">
      <w:pPr>
        <w:pStyle w:val="ListParagraph"/>
        <w:numPr>
          <w:ilvl w:val="0"/>
          <w:numId w:val="1"/>
        </w:numPr>
      </w:pPr>
      <w:r w:rsidRPr="00DA3B2C">
        <w:rPr>
          <w:b/>
          <w:bCs/>
        </w:rPr>
        <w:t>Revise our funnel conversion assumptions</w:t>
      </w:r>
      <w:r>
        <w:t xml:space="preserve">.  How do we do this? The numbers represented above are fairly typical for a </w:t>
      </w:r>
      <w:r w:rsidR="00C82F6D">
        <w:t xml:space="preserve">redact </w:t>
      </w:r>
      <w:r>
        <w:t xml:space="preserve">company.  To increase our win </w:t>
      </w:r>
      <w:proofErr w:type="gramStart"/>
      <w:r>
        <w:t>rate</w:t>
      </w:r>
      <w:proofErr w:type="gramEnd"/>
      <w:r>
        <w:t xml:space="preserve"> we would need to become better than average at finding prospects, creating opportunities, and winning deals.</w:t>
      </w:r>
    </w:p>
    <w:p w14:paraId="5928B746" w14:textId="77777777" w:rsidR="007F3629" w:rsidRDefault="007F3629" w:rsidP="007F3629">
      <w:pPr>
        <w:pStyle w:val="ListParagraph"/>
        <w:ind w:left="360"/>
      </w:pPr>
    </w:p>
    <w:p w14:paraId="0A0BEEF8" w14:textId="07E3A59E" w:rsidR="007F3629" w:rsidRDefault="007F3629" w:rsidP="007F3629">
      <w:pPr>
        <w:pStyle w:val="ListParagraph"/>
        <w:numPr>
          <w:ilvl w:val="0"/>
          <w:numId w:val="1"/>
        </w:numPr>
      </w:pPr>
      <w:r w:rsidRPr="00DA3B2C">
        <w:rPr>
          <w:b/>
          <w:bCs/>
        </w:rPr>
        <w:t>Expand our Geographical market.</w:t>
      </w:r>
      <w:r>
        <w:t xml:space="preserve">  The TAM above is based on the North American market size of </w:t>
      </w:r>
      <w:r w:rsidR="00BD45BE">
        <w:t xml:space="preserve">83,723 </w:t>
      </w:r>
      <w:r>
        <w:t xml:space="preserve">companies.  Expanding to other geographies would be one way to increase the TAM.  </w:t>
      </w:r>
    </w:p>
    <w:p w14:paraId="06DB6136" w14:textId="77777777" w:rsidR="007F3629" w:rsidRDefault="007F3629" w:rsidP="007F3629">
      <w:pPr>
        <w:pStyle w:val="ListParagraph"/>
      </w:pPr>
    </w:p>
    <w:p w14:paraId="64EC9AD2" w14:textId="4F66879F" w:rsidR="00721299" w:rsidRDefault="007F3629" w:rsidP="00DC0382">
      <w:pPr>
        <w:pStyle w:val="ListParagraph"/>
        <w:numPr>
          <w:ilvl w:val="0"/>
          <w:numId w:val="1"/>
        </w:numPr>
      </w:pPr>
      <w:r w:rsidRPr="00BD45BE">
        <w:rPr>
          <w:b/>
          <w:bCs/>
        </w:rPr>
        <w:t>Increasing the range of companies</w:t>
      </w:r>
      <w:r>
        <w:t xml:space="preserve">.  The TAM above is based on the number of companies known to be </w:t>
      </w:r>
      <w:r w:rsidR="00BD45BE">
        <w:t>over $5M in revenue</w:t>
      </w:r>
      <w:r>
        <w:t xml:space="preserve">.  </w:t>
      </w:r>
      <w:r w:rsidR="00BD45BE">
        <w:t>Providing an offering to companies with revenues lower than $5M would be one approach to increasing TAM.</w:t>
      </w:r>
    </w:p>
    <w:sectPr w:rsidR="007212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931A87"/>
    <w:multiLevelType w:val="hybridMultilevel"/>
    <w:tmpl w:val="CCA2DFA2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417354"/>
    <w:multiLevelType w:val="hybridMultilevel"/>
    <w:tmpl w:val="810E75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49"/>
    <w:rsid w:val="000B4701"/>
    <w:rsid w:val="000C3B25"/>
    <w:rsid w:val="000F22D2"/>
    <w:rsid w:val="0013733F"/>
    <w:rsid w:val="00174429"/>
    <w:rsid w:val="001F6D06"/>
    <w:rsid w:val="002E2029"/>
    <w:rsid w:val="00305406"/>
    <w:rsid w:val="00317C15"/>
    <w:rsid w:val="00317F50"/>
    <w:rsid w:val="003564CC"/>
    <w:rsid w:val="00360398"/>
    <w:rsid w:val="00360620"/>
    <w:rsid w:val="003F3116"/>
    <w:rsid w:val="00465BD3"/>
    <w:rsid w:val="004E75F2"/>
    <w:rsid w:val="00631077"/>
    <w:rsid w:val="00685495"/>
    <w:rsid w:val="006D4189"/>
    <w:rsid w:val="006E3D26"/>
    <w:rsid w:val="00721299"/>
    <w:rsid w:val="00774842"/>
    <w:rsid w:val="007C6093"/>
    <w:rsid w:val="007D148E"/>
    <w:rsid w:val="007F3629"/>
    <w:rsid w:val="0080367E"/>
    <w:rsid w:val="00803D49"/>
    <w:rsid w:val="00823B91"/>
    <w:rsid w:val="00873867"/>
    <w:rsid w:val="008B4786"/>
    <w:rsid w:val="008D6591"/>
    <w:rsid w:val="008E50AA"/>
    <w:rsid w:val="008E73C5"/>
    <w:rsid w:val="00901744"/>
    <w:rsid w:val="00961F55"/>
    <w:rsid w:val="009C3D6B"/>
    <w:rsid w:val="009E30FF"/>
    <w:rsid w:val="00AA3C0C"/>
    <w:rsid w:val="00AE2387"/>
    <w:rsid w:val="00B22C85"/>
    <w:rsid w:val="00BD45BE"/>
    <w:rsid w:val="00C42436"/>
    <w:rsid w:val="00C67B78"/>
    <w:rsid w:val="00C82F6D"/>
    <w:rsid w:val="00C85BF7"/>
    <w:rsid w:val="00CF3D84"/>
    <w:rsid w:val="00D606D7"/>
    <w:rsid w:val="00D92D55"/>
    <w:rsid w:val="00DA02E8"/>
    <w:rsid w:val="00DD68E9"/>
    <w:rsid w:val="00DF1815"/>
    <w:rsid w:val="00DF1838"/>
    <w:rsid w:val="00E80E3D"/>
    <w:rsid w:val="00EF34D0"/>
    <w:rsid w:val="00F227BB"/>
    <w:rsid w:val="00F42E3E"/>
    <w:rsid w:val="00F81525"/>
    <w:rsid w:val="00FC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D3B96"/>
  <w15:chartTrackingRefBased/>
  <w15:docId w15:val="{ED6E1B50-571E-468A-8711-ACA8368B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2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3C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212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12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212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212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299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367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uiPriority w:val="9"/>
    <w:rsid w:val="00AA3C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dTable1Light-Accent1">
    <w:name w:val="Grid Table 1 Light Accent 1"/>
    <w:basedOn w:val="TableNormal"/>
    <w:uiPriority w:val="46"/>
    <w:rsid w:val="007C609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5">
    <w:name w:val="Grid Table 4 Accent 5"/>
    <w:basedOn w:val="TableNormal"/>
    <w:uiPriority w:val="49"/>
    <w:rsid w:val="004E75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F3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5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ista.com/topics/1660/food-retail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microsoft.com/office/2014/relationships/chartEx" Target="charts/chartEx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2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Book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CA"/>
              <a:t>How</a:t>
            </a:r>
            <a:r>
              <a:rPr lang="en-CA" baseline="0"/>
              <a:t> many NA Food and Beverages </a:t>
            </a:r>
            <a:endParaRPr lang="en-CA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'by subsegment'!$B$1</c:f>
              <c:strCache>
                <c:ptCount val="1"/>
                <c:pt idx="0">
                  <c:v>Count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'by subsegment'!$A$2:$A$14</c:f>
              <c:strCache>
                <c:ptCount val="13"/>
                <c:pt idx="0">
                  <c:v>Food Wholesalers</c:v>
                </c:pt>
                <c:pt idx="1">
                  <c:v>Meat Packing</c:v>
                </c:pt>
                <c:pt idx="2">
                  <c:v>Seafood</c:v>
                </c:pt>
                <c:pt idx="3">
                  <c:v>Processed Foods</c:v>
                </c:pt>
                <c:pt idx="4">
                  <c:v>Baked Goods</c:v>
                </c:pt>
                <c:pt idx="5">
                  <c:v>Dairy</c:v>
                </c:pt>
                <c:pt idx="6">
                  <c:v>Breweries</c:v>
                </c:pt>
                <c:pt idx="7">
                  <c:v>Wineries</c:v>
                </c:pt>
                <c:pt idx="8">
                  <c:v>Confection</c:v>
                </c:pt>
                <c:pt idx="9">
                  <c:v>Poultry</c:v>
                </c:pt>
                <c:pt idx="10">
                  <c:v>Alcoholic Beverage Distribution</c:v>
                </c:pt>
                <c:pt idx="11">
                  <c:v>Non-Alcoholic Beverages</c:v>
                </c:pt>
                <c:pt idx="12">
                  <c:v>Flavoring and Spices</c:v>
                </c:pt>
              </c:strCache>
            </c:strRef>
          </c:cat>
          <c:val>
            <c:numRef>
              <c:f>'by subsegment'!$B$2:$B$14</c:f>
              <c:numCache>
                <c:formatCode>General</c:formatCode>
                <c:ptCount val="13"/>
                <c:pt idx="0" formatCode="#,##0">
                  <c:v>3980</c:v>
                </c:pt>
                <c:pt idx="1">
                  <c:v>1776</c:v>
                </c:pt>
                <c:pt idx="2">
                  <c:v>1224</c:v>
                </c:pt>
                <c:pt idx="3">
                  <c:v>1012</c:v>
                </c:pt>
                <c:pt idx="4" formatCode="#,##0">
                  <c:v>990</c:v>
                </c:pt>
                <c:pt idx="5">
                  <c:v>932</c:v>
                </c:pt>
                <c:pt idx="6">
                  <c:v>764</c:v>
                </c:pt>
                <c:pt idx="7">
                  <c:v>721</c:v>
                </c:pt>
                <c:pt idx="8">
                  <c:v>662</c:v>
                </c:pt>
                <c:pt idx="9">
                  <c:v>643</c:v>
                </c:pt>
                <c:pt idx="10">
                  <c:v>587</c:v>
                </c:pt>
                <c:pt idx="11">
                  <c:v>328</c:v>
                </c:pt>
                <c:pt idx="12">
                  <c:v>264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385-4FE8-A7F2-7DAFB557C6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582475712"/>
        <c:axId val="1582467392"/>
      </c:barChart>
      <c:catAx>
        <c:axId val="158247571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582467392"/>
        <c:crosses val="autoZero"/>
        <c:auto val="1"/>
        <c:lblAlgn val="ctr"/>
        <c:lblOffset val="100"/>
        <c:noMultiLvlLbl val="0"/>
      </c:catAx>
      <c:valAx>
        <c:axId val="15824673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824757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'by size'!$A$2:$A$7</cx:f>
        <cx:lvl ptCount="6">
          <cx:pt idx="0">Teeny Tiny</cx:pt>
          <cx:pt idx="1">Small</cx:pt>
          <cx:pt idx="2">Medium</cx:pt>
          <cx:pt idx="3">Large</cx:pt>
          <cx:pt idx="4">Mega</cx:pt>
          <cx:pt idx="5">Unknown</cx:pt>
        </cx:lvl>
      </cx:strDim>
      <cx:numDim type="val">
        <cx:f>'by size'!$C$2:$C$7</cx:f>
        <cx:lvl ptCount="6" formatCode="#,##0">
          <cx:pt idx="0">37553</cx:pt>
          <cx:pt idx="1">10586</cx:pt>
          <cx:pt idx="2">3182</cx:pt>
          <cx:pt idx="3">1302</cx:pt>
          <cx:pt idx="4">768</cx:pt>
          <cx:pt idx="5">30332</cx:pt>
        </cx:lvl>
      </cx:numDim>
    </cx:data>
  </cx:chartData>
  <cx:chart>
    <cx:title pos="t" align="ctr" overlay="0">
      <cx:tx>
        <cx:rich>
          <a:bodyPr spcFirstLastPara="1" vertOverflow="ellipsis" horzOverflow="overflow" wrap="square" lIns="0" tIns="0" rIns="0" bIns="0" anchor="ctr" anchorCtr="1"/>
          <a:lstStyle/>
          <a:p>
            <a:pPr algn="ctr" rtl="0">
              <a:defRPr/>
            </a:pP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</a:rPr>
              <a:t>How many </a:t>
            </a:r>
            <a:r>
              <a:rPr lang="en-CA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redact c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</a:rPr>
              <a:t>ompanies by Size</a:t>
            </a:r>
          </a:p>
        </cx:rich>
      </cx:tx>
    </cx:title>
    <cx:plotArea>
      <cx:plotAreaRegion>
        <cx:series layoutId="funnel" uniqueId="{9F804349-7CF9-465F-AF45-6B83B26994FB}">
          <cx:tx>
            <cx:txData>
              <cx:f>'by size'!$C$1</cx:f>
              <cx:v>Number of Companies</cx:v>
            </cx:txData>
          </cx:tx>
          <cx:dataLabels>
            <cx:visibility seriesName="0" categoryName="0" value="1"/>
          </cx:dataLabels>
          <cx:dataId val="0"/>
        </cx:series>
      </cx:plotAreaRegion>
      <cx:axis id="0">
        <cx:catScaling gapWidth="0.0599999987"/>
        <cx:tickLabels/>
      </cx:axis>
    </cx:plotArea>
  </cx:chart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41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03AB0B786D6849BEDDCCBC0A84A5EC" ma:contentTypeVersion="12" ma:contentTypeDescription="Create a new document." ma:contentTypeScope="" ma:versionID="6c556e593968dd90eba29f85c5937574">
  <xsd:schema xmlns:xsd="http://www.w3.org/2001/XMLSchema" xmlns:xs="http://www.w3.org/2001/XMLSchema" xmlns:p="http://schemas.microsoft.com/office/2006/metadata/properties" xmlns:ns2="3eede92a-b980-4981-96d2-f712d724f24e" xmlns:ns3="e1624158-d4be-4392-a461-4c829e306d9d" targetNamespace="http://schemas.microsoft.com/office/2006/metadata/properties" ma:root="true" ma:fieldsID="02a36ada863325acee4b304ddfb58813" ns2:_="" ns3:_="">
    <xsd:import namespace="3eede92a-b980-4981-96d2-f712d724f24e"/>
    <xsd:import namespace="e1624158-d4be-4392-a461-4c829e306d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de92a-b980-4981-96d2-f712d724f2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24158-d4be-4392-a461-4c829e306d9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97FDA4-BED8-4967-88A9-7C1A1C7AE1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FB9DA1-98DA-48C1-8D21-56DA1BDA5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E3C45A-3F6C-4F79-AB6F-5B254A1D1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ede92a-b980-4981-96d2-f712d724f24e"/>
    <ds:schemaRef ds:uri="e1624158-d4be-4392-a461-4c829e306d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DiGiorgio</dc:creator>
  <cp:keywords/>
  <dc:description/>
  <cp:lastModifiedBy>Marc DiGiorgio</cp:lastModifiedBy>
  <cp:revision>51</cp:revision>
  <dcterms:created xsi:type="dcterms:W3CDTF">2021-03-15T13:39:00Z</dcterms:created>
  <dcterms:modified xsi:type="dcterms:W3CDTF">2021-11-19T18:03:00Z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0x010100D803AB0B786D6849BEDDCCBC0A84A5EC</vt:lpwstr>
  </property>
</Properties>
</file>